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Bilanznotiz Arbeitgeber</w:t>
      </w:r>
    </w:p>
    <w:p>
      <w:pPr>
        <w:jc w:val="both"/>
      </w:pPr>
      <w:r>
        <w:t>Im Geschäftsbericht 2024 wird auf Pensionsrisiken und Nachschusspflichten nur pauschal hingewiesen. Die Rückstellung für mittelbare Verpflichtungen ist nicht einzeln erläutert.</w:t>
      </w:r>
    </w:p>
    <w:p>
      <w:pPr>
        <w:jc w:val="both"/>
      </w:pPr>
      <w:r>
        <w:t>Die Notiz ist für eine Anspruchsprüfung kein Beweis, aber ein Ansatz für Auskunft und Vergleichsdruck.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