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Klageentwurf Arbeitsgericht</w:t>
      </w:r>
    </w:p>
    <w:p>
      <w:pPr>
        <w:jc w:val="both"/>
      </w:pPr>
      <w:r>
        <w:t>Der Entwurf richtet sich gegen den früheren Arbeitgeber auf Ausgleich der Leistungskürzung und hilfsweise Auskunft zur Anpassungsprüfung.</w:t>
      </w:r>
    </w:p>
    <w:p>
      <w:pPr>
        <w:jc w:val="both"/>
      </w:pPr>
      <w:r>
        <w:t>Die Anträge sind bewusst noch nicht final beziffert, weil Rentenverlauf und Kürzungsgrundlagen erst vollständig vorliegen müssen.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