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i/>
          <w:sz w:val="18"/>
        </w:rPr>
        <w:t>Kanzlei Lindenhof und Partner mbB | Aktenzeichen intern 2026-</w:t>
      </w:r>
    </w:p>
    <w:p>
      <w:pPr>
        <w:pStyle w:val="Heading1"/>
      </w:pPr>
      <w:r>
        <w:t>Ergänzender Sachverhaltsvermerk Rentenberatung</w:t>
      </w:r>
    </w:p>
    <w:p>
      <w:pPr>
        <w:pStyle w:val="Heading2"/>
      </w:pPr>
      <w:r>
        <w:t>1. Konten- und Leistungsachse</w:t>
      </w:r>
    </w:p>
    <w:p>
      <w:pPr>
        <w:jc w:val="both"/>
      </w:pPr>
      <w:r>
        <w:t>Der Ordner rentenrecht-betriebsrente-pensionskasse-kuerzung-wiesbaden wird als Rentenberatungsakte mit Versicherungsverlauf, Leistungsziel und möglicher sozialgerichtlicher Fortsetzung behandelt. Nicht der Bescheid allein entscheidet, sondern die Linie aus Zeiten, Beiträgen, Befunden, Arbeitshistorie und Fristen.</w:t>
      </w:r>
    </w:p>
    <w:p>
      <w:pPr>
        <w:pStyle w:val="Heading2"/>
      </w:pPr>
      <w:r>
        <w:t>2. Typische Stolperstellen</w:t>
      </w:r>
    </w:p>
    <w:p>
      <w:pPr>
        <w:jc w:val="both"/>
      </w:pPr>
      <w:r>
        <w:t>Kontenlücken, parallele Versorgungssysteme, Krankengeld- und Rehazeiten, Schwerbehinderung, Hinzuverdienst und betriebliche Versorgung müssen getrennt geprüft werden. Eine unklare Zeit darf nicht stillschweigend als geklärt gelten.</w:t>
      </w:r>
    </w:p>
    <w:p>
      <w:pPr>
        <w:pStyle w:val="Heading2"/>
      </w:pPr>
      <w:r>
        <w:t>3. Arbeitsauftrag</w:t>
      </w:r>
    </w:p>
    <w:p>
      <w:pPr>
        <w:jc w:val="both"/>
      </w:pPr>
      <w:r>
        <w:t>Zuerst Rentenziel, Beginn, Abschlag, Versicherungszeiten und Beweisstücke tabellieren. Danach Bescheidlogik, Widerspruchsangriffe und Vergleichswert für Nachzahlung oder laufende Rente ausarbeiten.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