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sanierungsgewinn-insolvenzplan-grossbach-druckguss-erfurt-2026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