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sanierungsgewinn-starug-plan-windenergie-pellbach-2026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