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i/>
          <w:sz w:val="18"/>
        </w:rPr>
        <w:t>Kanzlei Lindenhof und Partner mbB | Aktenzeichen intern 2026-</w:t>
      </w:r>
    </w:p>
    <w:p>
      <w:pPr>
        <w:pStyle w:val="Heading1"/>
      </w:pPr>
      <w:r>
        <w:t>Antrag auf Höherstufung</w:t>
      </w:r>
    </w:p>
    <w:p>
      <w:pPr>
        <w:pStyle w:val="Heading2"/>
      </w:pPr>
      <w:r>
        <w:t>1. Anlass</w:t>
      </w:r>
    </w:p>
    <w:p>
      <w:pPr>
        <w:jc w:val="both"/>
      </w:pPr>
      <w:r>
        <w:t>Herr Anton Birk beantragt über seine Tochter die Höherstufung des Pflegegrads und eine Prüfung zusätzlicher Entlastungsleistungen. Beigefügt werden Pflegeprotokolle, Medikationsplan, Sturznotizen und ärztliche Bescheinigungen.</w:t>
      </w:r>
    </w:p>
    <w:p>
      <w:pPr>
        <w:pStyle w:val="Heading2"/>
      </w:pPr>
      <w:r>
        <w:t>2. Tatsächliche Veränderung</w:t>
      </w:r>
    </w:p>
    <w:p>
      <w:pPr>
        <w:jc w:val="both"/>
      </w:pPr>
      <w:r>
        <w:t>Seit März 2026 treten nächtliche Orientierungsverluste an mindestens vier Tagen pro Woche auf. Herr Birk schaltet den Herd ein, verwechselt die Wohnungstür mit der Kellertür und trägt nachts Hausschuhe ohne Fersenhalt.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