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i/>
          <w:sz w:val="18"/>
        </w:rPr>
        <w:t>Kanzlei Lindenhof und Partner mbB | Aktenzeichen intern 2026-</w:t>
      </w:r>
    </w:p>
    <w:p>
      <w:pPr>
        <w:pStyle w:val="Heading1"/>
      </w:pPr>
      <w:r>
        <w:t>Ärztliche Bescheinigung</w:t>
      </w:r>
    </w:p>
    <w:p>
      <w:pPr>
        <w:jc w:val="both"/>
      </w:pPr>
      <w:r>
        <w:t>Dr. Sabine Weller, Fachärztin für Allgemeinmedizin, beschreibt eine progrediente demenzielle Entwicklung mit Sturzrisiko und fehlender Krankheitseinsicht. Aus ärztlicher Sicht ist eine nächtliche Beaufsichtigung vorübergehend erforderlich, bis Herdsicherung, Türkontakt und Badumbau geklärt sind.</w:t>
      </w:r>
    </w:p>
    <w:p>
      <w:pPr>
        <w:jc w:val="both"/>
      </w:pPr>
      <w:r>
        <w:t>Die Bescheinigung vermeidet eine rechtliche Bewertung und benennt ausschließlich medizinische Befunde, Verlauf und praktische Risiken.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