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Bescheid der Pflegekasse</w:t>
      </w:r>
    </w:p>
    <w:p>
      <w:pPr>
        <w:jc w:val="both"/>
      </w:pPr>
      <w:r>
        <w:t>Die Pflegekasse lehnt die Höherstufung ab. Nach dem Gutachten liege der Schwerpunkt bei hauswirtschaftlicher Unterstützung, nicht bei einer erheblichen Einschränkung der Selbstständigkeit.</w:t>
      </w:r>
    </w:p>
    <w:p>
      <w:pPr>
        <w:jc w:val="both"/>
      </w:pPr>
      <w:r>
        <w:t>Der Bescheid enthält eine Rechtsbehelfsbelehrung und verweist auf Widerspruch binnen eines Monats nach Bekanntgabe.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