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Ablehnungsbescheid</w:t>
      </w:r>
    </w:p>
    <w:p>
      <w:pPr>
        <w:jc w:val="both"/>
      </w:pPr>
      <w:r>
        <w:t>Der Bezirk lehnt den Antrag ab. Für Ausbildung und Schule seien andere Leistungsträger vorrangig; eine dauerhafte Begleitung könne nur bei wesentlicher Teilhabebeeinträchtigung geprüft werden.</w:t>
      </w:r>
    </w:p>
    <w:p>
      <w:pPr>
        <w:jc w:val="both"/>
      </w:pPr>
      <w:r>
        <w:t>Der Bescheid enthält keine Auseinandersetzung mit Pausen- und Schulwegsituationen.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