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Widerspruch Mutter</w:t>
      </w:r>
    </w:p>
    <w:p>
      <w:pPr>
        <w:jc w:val="both"/>
      </w:pPr>
      <w:r>
        <w:t>Die Mutter widerspricht rechtzeitig. Das Schreiben ist handlungsorientiert, aber noch nicht nach Zuständigkeit, Leistungssystem und konkretem Stundenbedarf sortiert.</w:t>
      </w:r>
    </w:p>
    <w:p>
      <w:pPr>
        <w:jc w:val="both"/>
      </w:pPr>
      <w:r>
        <w:t>Es fehlen noch Akteneinsicht, Antrag auf vorläufige Leistung und eine klare Darstellung des drohenden Ausbildungsabbruchs.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