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Sozialleistung</w:t>
      </w:r>
    </w:p>
    <w:p>
      <w:pPr>
        <w:pStyle w:val="Heading2"/>
      </w:pPr>
      <w:r>
        <w:t>1. Verfahrensstand</w:t>
      </w:r>
    </w:p>
    <w:p>
      <w:pPr>
        <w:jc w:val="both"/>
      </w:pPr>
      <w:r>
        <w:t>Der Ordner sozialrecht-wohnraumanpassung-rampe-pflegegrad-wittenberge wird nach Durchsicht als laufende Leistungsakte geführt. Maßgeblich sind Bescheiddatum, Zugang, Widerspruchsfrist, medizinischer oder pflegerischer Befund und die Frage, ob vorläufiger Rechtsschutz vorbereitet werden muss.</w:t>
      </w:r>
    </w:p>
    <w:p>
      <w:pPr>
        <w:pStyle w:val="Heading2"/>
      </w:pPr>
      <w:r>
        <w:t>2. Lebensnahe Reibungspunkte</w:t>
      </w:r>
    </w:p>
    <w:p>
      <w:pPr>
        <w:jc w:val="both"/>
      </w:pPr>
      <w:r>
        <w:t>Die Unterlagen zeigen regelmäßig keine glatte Behördenspur: telefonische Zusagen stehen neben knappen Bescheiden, Arztbriefe enthalten Alltagsschilderungen, Angehörige notieren nur das, was ihnen auffällt, und Leistungsträger verweisen auf Zuständigkeitsgrenzen.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sind Frist, zuständige Stelle, Leistungsziel, vorhandene Belege und fehlende medizinische Tatsachen zu sortieren. Erst danach folgt die rechtliche Einordnung nach SGB, Verfahrensrecht und Beweislast.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