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starug-aufhebung-holding-duesseldorf-ix-zb-18-25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