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Rentenberatung</w:t>
      </w:r>
    </w:p>
    <w:p>
      <w:pPr>
        <w:pStyle w:val="Heading2"/>
      </w:pPr>
      <w:r>
        <w:t>1. Konten- und Leistungsachse</w:t>
      </w:r>
    </w:p>
    <w:p>
      <w:pPr>
        <w:jc w:val="both"/>
      </w:pPr>
      <w:r>
        <w:t>Der Ordner statusfeststellung-familienangehoerige-baeckerei-luenen wird als Rentenberatungsakte mit Versicherungsverlauf, Leistungsziel und möglicher sozialgerichtlicher Fortsetzung behandelt. Nicht der Bescheid allein entscheidet, sondern die Linie aus Zeiten, Beiträgen, Befunden, Arbeitshistorie und Fristen.</w:t>
      </w:r>
    </w:p>
    <w:p>
      <w:pPr>
        <w:pStyle w:val="Heading2"/>
      </w:pPr>
      <w:r>
        <w:t>2. Typische Stolperstellen</w:t>
      </w:r>
    </w:p>
    <w:p>
      <w:pPr>
        <w:jc w:val="both"/>
      </w:pPr>
      <w:r>
        <w:t>Kontenlücken, parallele Versorgungssysteme, Krankengeld- und Rehazeiten, Schwerbehinderung, Hinzuverdienst und betriebliche Versorgung müssen getrennt geprüft werden. Eine unklare Zeit darf nicht stillschweigend als geklärt gelten.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Rentenziel, Beginn, Abschlag, Versicherungszeiten und Beweisstücke tabellieren. Danach Bescheidlogik, Widerspruchsangriffe und Vergleichswert für Nachzahlung oder laufende Rente ausarbeiten.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