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verbraucherinsolvenz-reimers-ehemaliger-gf-schuldenbereinigung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