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Nordlicht Handels GmbH i.I. | Brinkmann Hartmann und Kollegen | Az. AG Kiel 10 IN 127/13</w:t>
      </w:r>
    </w:p>
    <w:p>
      <w:pPr>
        <w:pStyle w:val="Heading1"/>
      </w:pPr>
      <w:r>
        <w:t>Klageerwiderung der Kieler Volksbank eG</w:t>
      </w:r>
    </w:p>
    <w:p>
      <w:r>
        <w:t>Landgericht Kiel, Az. 3 O 218/13.</w:t>
      </w:r>
    </w:p>
    <w:p>
      <w:r>
        <w:t>Namens und in Vollmacht der Beklagten wird beantragt, die Klage abzuweisen.</w:t>
      </w:r>
    </w:p>
    <w:p>
      <w:r>
        <w:t>Die Beklagte bestreitet, zum Zeitpunkt der streitgegenstaendlichen Gutschriften Kenntnis von einer Zahlungsunfaehigkeit der Klaegerin gehabt zu haben. Das interne Kreditueberwachungsschreiben vom 15.09.2012 habe lediglich eine routinemaessige Bonitaetspruefung dokumentiert, keine Feststellung der Zahlungsunfaehigkeit.</w:t>
      </w:r>
    </w:p>
    <w:p>
      <w:r>
        <w:t>Ferner wird die Auffassung vertreten, dass es sich bei den Gutbuchungen im laufenden Kontokorrent um kongruente Deckungen im Rahmen des vereinbarten Kreditrahmens gehandelt habe.</w:t>
      </w:r>
    </w:p>
    <w:p/>
    <w:p>
      <w:r>
        <w:t>RA Dr. Wolfgang Petersen, Kanzlei Petersen und Kollegen, Kiel, 05.11.2013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