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Vergleichsverhandlung mit der Kieler Volksbank eG</w:t>
      </w:r>
    </w:p>
    <w:p>
      <w:r>
        <w:t>Nach der Zeugenvernehmung vom 14.01.2014 fuehrten die Parteien Vergleichsgespraeche.</w:t>
      </w:r>
    </w:p>
    <w:p>
      <w:r>
        <w:t>Die Beklagte bietet eine Zahlung von 55.000,00 EUR zur vollstaendigen Erledigung der Anfechtungsklage an, ohne Anerkennung einer Rechtspflicht.</w:t>
      </w:r>
    </w:p>
    <w:p>
      <w:r>
        <w:t>Der Klaeger haelt angesichts der Zeugenaussage eine Erfolgsaussicht von rund 70 % fuer die Klageforderung in voller Hoehe (87.400 EUR), beruecksichtigt jedoch das Prozesskostenrisiko und die Verfahrensdauer.</w:t>
      </w:r>
    </w:p>
    <w:p>
      <w:r>
        <w:t>Einigung auf 62.000,00 EUR, zahlbar bis 15.05.2014.</w:t>
      </w:r>
    </w:p>
    <w:p/>
    <w:p>
      <w:r>
        <w:t>Protokollfuehrung: RA Dr. Jens-Peter Hartmann, 28.04.2014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