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Staatsanwaltschaft Frankfurt am Main ./. Sebastian Richter - Az. 930 Js 1147/24 / Insolvenz LUMEN Studios GmbH AG Frankfurt 810 IN 245/24</w:t>
      </w:r>
    </w:p>
    <w:p>
      <w:pPr>
        <w:pStyle w:val="Heading1"/>
      </w:pPr>
      <w:r>
        <w:t>Jahresabschluesse 2022 und 2023 der LUMEN Studios GmbH (Auszug Bilanz und GuV)</w:t>
      </w:r>
    </w:p>
    <w:p>
      <w:r>
        <w:t>Erstellt durch Steuerberatung Klingmann &amp; Fuchs, Frankfurt am Main, auf Basis der von der Geschaeftsfuehrung uebergebenen Belege (Jahresabschluss 2023 unvollstaendig, da Buchfuehrung ab Oktober 2023 eingestellt).</w:t>
      </w:r>
    </w:p>
    <w:p>
      <w:pPr>
        <w:pStyle w:val="Heading2"/>
      </w:pPr>
      <w:r>
        <w:t>Bilanz 2022 (Kurzfassung)</w:t>
      </w:r>
    </w:p>
    <w:p>
      <w:r>
        <w:t>Bilanzsumme EUR 187.400,00. Eigenkapital EUR 34.200,00 (positiv). Verbindlichkeiten EUR 128.600,00. Liquide Mittel EUR 22.100,00.</w:t>
      </w:r>
    </w:p>
    <w:p>
      <w:pPr>
        <w:pStyle w:val="Heading2"/>
      </w:pPr>
      <w:r>
        <w:t>Bilanz 2023 (unvollstaendig, Rekonstruktion durch IV)</w:t>
      </w:r>
    </w:p>
    <w:p>
      <w:r>
        <w:t>Bilanzsumme geschaetzt EUR 142.000,00. Eigenkapital rechnerisch bereits negativ (Ueberschuldung, geschaetzt EUR -18.400,00 zum 31.12.2023). Verbindlichkeiten EUR 168.900,00, davon EUR 41.200,00 gegenueber Finanzamt und Sozialversicherungstraegern.</w:t>
      </w:r>
    </w:p>
    <w:p>
      <w:pPr>
        <w:pStyle w:val="Heading2"/>
      </w:pPr>
      <w:r>
        <w:t>Pruefungshinweis</w:t>
      </w:r>
    </w:p>
    <w:p>
      <w:r>
        <w:t>Der vollstaendige Jahresabschluss 2023 konnte mangels laufender Buchfuehrung ab Oktober 2023 nicht erstellt werden; die vorstehenden Zahlen beruhen auf einer nachtraeglichen Rekonstruktion der Insolvenzverwalterin anhand von Kontoauszuegen und Belegen.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