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Rechtsanwalt Dr. Ludwig Stadlbauer | Insolvenzverwalter | Regensburg</w:t>
      </w:r>
    </w:p>
    <w:p>
      <w:pPr>
        <w:pStyle w:val="Heading1"/>
      </w:pPr>
      <w:r>
        <w:t>Schlussvermerk zur Handakte</w:t>
      </w:r>
    </w:p>
    <w:p>
      <w:r>
        <w:t>Insolvenzverfahren Donaupart Praezisionstechnik GmbH, Az. 3 IN 152/26</w:t>
      </w:r>
    </w:p>
    <w:p>
      <w:r>
        <w:t>Vermerk vom 20.09.2027</w:t>
      </w:r>
    </w:p>
    <w:p>
      <w:pPr>
        <w:pStyle w:val="Heading2"/>
      </w:pPr>
      <w:r>
        <w:t>Zusammenfassung</w:t>
      </w:r>
    </w:p>
    <w:p>
      <w:r>
        <w:t>Das Urteil des Landgerichts Regensburg vom 22.06.2027 (Az. 2 O 987/26) ist seit dem 27.07.2027 rechtskraeftig. Die Beklagte hat die titulierte Summe von 640.000,00 EUR nebst Zinsen am 12.09.2027 vollstaendig gezahlt und den Maschinenpark am 15.09.2027 an die Masse herausgegeben. Die Rueckzahlung an den Mitgesellschafter Kastl blieb wie vom Verwalter zutreffend erkannt aufgrund des Kleinbeteiligtenprivilegs unangefochten.</w:t>
      </w:r>
    </w:p>
    <w:p>
      <w:pPr>
        <w:pStyle w:val="Heading2"/>
      </w:pPr>
      <w:r>
        <w:t>Bewertung</w:t>
      </w:r>
    </w:p>
    <w:p>
      <w:r>
        <w:t>Der Fall bestaetigt, dass Cash-Pool-Salden im Konzern als Gesellschafterdarlehen zu qualifizieren sind und dass die tatsaechliche Bestellung einer Sicherheit fuer die Zehnjahresfrist des Paragraf 135 Abs. 1 Nr. 1 InsO massgeblich ist, unabhaengig von einer aelteren schuldrechtlichen Nachbesicherungsklausel.</w:t>
      </w:r>
    </w:p>
    <w:p/>
    <w:p>
      <w:r>
        <w:t>Dr. Ludwig Stadlbauer, Insolvenzverwalter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