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Berlin, Kammer fuer Handelssachen</w:t>
      </w:r>
    </w:p>
    <w:p>
      <w:pPr>
        <w:pStyle w:val="Heading1"/>
      </w:pPr>
      <w:r>
        <w:t>Urteil</w:t>
      </w:r>
    </w:p>
    <w:p>
      <w:r>
        <w:t>94 O 47/26</w:t>
      </w:r>
    </w:p>
    <w:p/>
    <w:p>
      <w:r>
        <w:t>IM NAMEN DES VOLKES</w:t>
      </w:r>
    </w:p>
    <w:p/>
    <w:p>
      <w:r>
        <w:t>In dem Rechtsstreit Dr. Gesa Trux als Insolvenzverwalterin ./. Dr. Valentin Brosekamp</w:t>
      </w:r>
    </w:p>
    <w:p/>
    <w:p>
      <w:r>
        <w:t>hat das Landgericht Berlin, Kammer fuer Handelssachen, fuer Recht erkannt:</w:t>
      </w:r>
    </w:p>
    <w:p>
      <w:r>
        <w:t>1. Der Beklagte wird verurteilt, an die Klaegerin 165.230,00 EUR nebst Zinsen in Hoehe von fuenf Prozentpunkten ueber dem Basiszinssatz seit dem 02.09.2026 zu zahlen.</w:t>
      </w:r>
    </w:p>
    <w:p>
      <w:r>
        <w:t>2. Im Uebrigen wird die Klage abgewiesen.</w:t>
      </w:r>
    </w:p>
    <w:p>
      <w:r>
        <w:t>3. Die Kosten des Rechtsstreits tragen die Klaegerin zu 11 % und der Beklagte zu 89 %.</w:t>
      </w:r>
    </w:p>
    <w:p>
      <w:r>
        <w:t>4. Das Urteil ist vorlaeufig vollstreckbar.</w:t>
      </w:r>
    </w:p>
    <w:p>
      <w:pPr>
        <w:pStyle w:val="Heading2"/>
      </w:pPr>
      <w:r>
        <w:t>Tatbestand</w:t>
      </w:r>
    </w:p>
    <w:p>
      <w:r>
        <w:t>Die Klaegerin macht als Insolvenzverwalterin Rueckgewaehranspruche wegen dreier Zahlungen an den Beklagten geltend: Darlehensrueckzahlung 150.000,00 EUR, Vorschuss 15.000,00 EUR und Beraterhonorar 20.230,00 EUR.</w:t>
      </w:r>
    </w:p>
    <w:p>
      <w:pPr>
        <w:pStyle w:val="Heading2"/>
      </w:pPr>
      <w:r>
        <w:t>Entscheidungsgruende</w:t>
      </w:r>
    </w:p>
    <w:p>
      <w:r>
        <w:t>Die Klage ist ueberwiegend begruendet. Die Darlehensrueckzahlung von 150.000,00 EUR unterliegt der Anfechtung nach § 135 Abs. 1 Nr. 2 InsO. Massgeblicher Bezugspunkt der Jahresfrist ist der Eroeffnungsantrag vom 14.11.2025; die Rueckzahlung im Dezember 2024 liegt innerhalb dieser Frist. Auf eine Kenntnis des Beklagten kommt es fuer diesen Tatbestand nicht an; das Kleinbeteiligtenprivileg des § 39 Abs. 5 InsO greift bei einer Beteiligung von 20 % nicht.</w:t>
      </w:r>
    </w:p>
    <w:p>
      <w:r>
        <w:t>Der Vorschuss von 15.000,00 EUR ist ebenfalls anfechtbar. Die Vernehmung des Zeugen Wittkamp hat zur Ueberzeugung der Kammer ergeben, dass der Beklagte durch den Wochenreport vom 22.08.2025 sowie durch die im Gruender-Chat dokumentierten Aeusserungen jedenfalls im Oktober 2025 Kenntnis von der drohenden Zahlungsunfaehigkeit hatte. Als dem Geschaeftsleiter nahestehende Person im Sinne des § 138 Abs. 2 InsO streitet fuer diese Kenntnis zudem die gesetzliche Vermutung, die der Beklagte nicht widerlegt hat. Der Vorschuss steht keiner gleichwertigen Gegenleistung gegenueber und ist mangels vertraglicher Grundlage nicht nach § 142 InsO privilegiert.</w:t>
      </w:r>
    </w:p>
    <w:p>
      <w:r>
        <w:t>Die Zahlung des Beraterhonorars von 20.230,00 EUR ist demgegenueber nicht zu erstatten. Die eingereichten Stundennachweise belegen eine tatsaechlich erbrachte und gleichwertige Beratungsleistung fuer Juli und August 2025; die Zahlung ist als Bargeschaeft nach § 142 InsO privilegiert. Eine Kenntnis von einer Glaeubigerbenachteiligungsabsicht im Sinne des § 133 InsO konnte nicht zur Ueberzeugung der Kammer festgestellt werden; der bis zum 07.11.2025 verhandelte Investoren-LOI der Kollibri Ventures GmbH begruendete jedenfalls bis zu diesem Zeitpunkt eine nicht von vornherein unplausible Sanierungshoffnung.</w:t>
      </w:r>
    </w:p>
    <w:p>
      <w:r>
        <w:t>Das ergaenzende Sachverstaendigengutachten der Sachverstaendigen Ohlerich hat die im Eroeffnungsverfahren festgestellten Stichtage der Ueberschuldung (30.06.2025) und der Zahlungsunfaehigkeit (01.09.2025) bestaetigt.</w:t>
      </w:r>
    </w:p>
    <w:p>
      <w:r>
        <w:t>Der Rueckgewaehranspruch fuer die anfechtbaren Zahlungen folgt aus § 143 Abs. 1 InsO nebst Zinsen seit Rechtshaengigkeit.</w:t>
      </w:r>
    </w:p>
    <w:p>
      <w:r>
        <w:t>Die Kostenentscheidung beruht auf § 92 Abs. 1 ZPO, die Entscheidung zur vorlaeufigen Vollstreckbarkeit auf § 709 ZPO.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