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Gesa Trux, Rechtsanwaeltin und Insolvenzverwalterin | Kurfuerstendamm 178, 10707 Berlin</w:t>
      </w:r>
    </w:p>
    <w:p>
      <w:pPr>
        <w:pStyle w:val="Heading1"/>
      </w:pPr>
      <w:r>
        <w:t>Schlussvermerk zum Anfechtungsprozess Dr. Valentin Brosekamp</w:t>
      </w:r>
    </w:p>
    <w:p>
      <w:r>
        <w:t>Az. 94 O 47/26 (LG Berlin); 36c IN 2291/25 (AG Charlottenburg)</w:t>
      </w:r>
    </w:p>
    <w:p>
      <w:pPr>
        <w:pStyle w:val="Heading2"/>
      </w:pPr>
      <w:r>
        <w:t>Verfahrensstand</w:t>
      </w:r>
    </w:p>
    <w:p>
      <w:r>
        <w:t>Das Urteil vom 15.06.2027 ist seit dem 20.07.2027 rechtskraeftig, nachdem beide Parteien auf Rechtsmittel verzichtet haben. Der Beklagte hat den titulierten Betrag von 165.230,00 EUR nebst Zinsen in Hoehe von 12.940,15 EUR, insgesamt 178.170,15 EUR, am 30.08.2027 vollstaendig auf das Massekonto ueberwiesen.</w:t>
      </w:r>
    </w:p>
    <w:p>
      <w:pPr>
        <w:pStyle w:val="Heading2"/>
      </w:pPr>
      <w:r>
        <w:t>Zusammenfassung</w:t>
      </w:r>
    </w:p>
    <w:p>
      <w:r>
        <w:t>Die Anfechtung der Darlehensrueckzahlung nach § 135 Abs. 1 Nr. 2 InsO wurde in voller Hoehe bestaetigt; auf eine Kenntnis kam es hierfuer nicht an. Der Vorschuss wurde ebenfalls zur Rueckgewaehr verurteilt, gestuetzt auf die Vermutung des § 138 Abs. 2 InsO und die Zeugenaussage Wittkamp. Das Beraterhonorar fuer tatsaechlich erbrachte Leistungen blieb dagegen als privilegiertes Bargeschaeft nach § 142 InsO unangetastet.</w:t>
      </w:r>
    </w:p>
    <w:p>
      <w:r>
        <w:t>Die vereinnahmten 178.170,15 EUR werden der Masse zugefuehrt. Der Vorgang gilt als abgeschlossen.</w:t>
      </w:r>
    </w:p>
    <w:p/>
    <w:p>
      <w:r>
        <w:t>Dr. Gesa Trux, Rechtsanwaeltin und Insolvenzverwalterin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