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Dipl.-Kfm. Sven Ottersbach</w:t>
        <w:br/>
        <w:t>Oeffentlich bestellter Sachverstaendiger, Leipzig</w:t>
      </w:r>
    </w:p>
    <w:p>
      <w:pPr>
        <w:pStyle w:val="Heading1"/>
      </w:pPr>
      <w:r>
        <w:t>Schriftliches Sachverstaendigengutachten</w:t>
      </w:r>
    </w:p>
    <w:p>
      <w:r>
        <w:t>Gutachten zur zeitlichen Zuordnung der Vorkassezahlungen zu den Teillieferungen, erstattet im Auftrag des Landgerichts Chemnitz, Az. 5 O 233/26</w:t>
      </w:r>
    </w:p>
    <w:p>
      <w:r>
        <w:t>1. Grundlage: Rechnungs-Zahlungs-Matching Januar bis April 2026 (Aktenstueck 06), Lieferscheine und Chargenprotokolle der Beklagten.</w:t>
      </w:r>
    </w:p>
    <w:p>
      <w:r>
        <w:t>2. Befund: Von 14 Zahlungen im Anfechtungszeitraum stehen elf in einem Abstand von weniger als 30 Tagen zur zugehoerigen Teillieferung. Drei Zahlungen (Rechnungen RE-2026-0142, RE-2026-0187 und RE-2026-0210) weisen einen Abstand von 34, 41 und 52 Tagen auf.</w:t>
      </w:r>
    </w:p>
    <w:p>
      <w:r>
        <w:t>3. Ergebnis: Fuer die elf zeitnahen Zahlungen ist von einem engen zeitlichen Zusammenhang im Sinne des Paragraf 142 InsO auszugehen. Fuer die drei abweichenden Zahlungen mit Gesamtvolumen von EUR 61.200,00 liegt kein privilegiertes Bargeschaeft vor.</w:t>
      </w:r>
    </w:p>
    <w:p>
      <w:r>
        <w:t>Leipzig, 20.11.2026</w:t>
        <w:br/>
        <w:t>Dipl.-Kfm. Sven Ottersbach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