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Nachtrag Cloud-Ticket, Firmware und Ersatzteilzugang</w:t>
      </w:r>
    </w:p>
    <w:p>
      <w:pPr>
        <w:pStyle w:val="Heading2"/>
      </w:pPr>
      <w:r>
        <w:t>1. Neue Unterlagen</w:t>
      </w:r>
    </w:p>
    <w:p>
      <w:r>
        <w:t>VestaCool antwortet im Support-Ticket, der Token für die Kompressordiagnose werde nur zertifizierten Betrieben erteilt. Gleichzeitig bietet ein Ersatzteilhändler ein kompatibles Modul an, das nach Einbau aber serverseitig freigeschaltet werden muss.</w:t>
      </w:r>
    </w:p>
    <w:p>
      <w:pPr>
        <w:pStyle w:val="Heading2"/>
      </w:pPr>
      <w:r>
        <w:t>2. Bedeutung</w:t>
      </w:r>
    </w:p>
    <w:p>
      <w:r>
        <w:t>Der Nachtrag trennt Reparaturmöglichkeit, digitale Aktivierung, Sicherheitsargument und Verkäuferverantwortung. Er kann für Nacherfüllung, Ersatzvornahme, Minderung und Vergleich wichtig sein.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