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Mandatsnotiz Erstgespräch</w:t>
      </w:r>
    </w:p>
    <w:p>
      <w:pPr>
        <w:pStyle w:val="Heading2"/>
      </w:pPr>
      <w:r>
        <w:t>1. Ausgangspunkt</w:t>
      </w:r>
    </w:p>
    <w:p>
      <w:r>
        <w:t>Ein handschriftliches Testament nennt Eva als Alleinerbin, enthält aber einen späteren Zettel zugunsten Jana.</w:t>
      </w:r>
    </w:p>
    <w:p>
      <w:r>
        <w:t>Jana verlangt Auskunft und Zugriff auf das Bildarchiv ihres Vaters.</w:t>
      </w:r>
    </w:p>
    <w:p>
      <w:r>
        <w:t>Ralf behauptet, er sichere nur die Daten, weil Eva technisch überfordert sei.</w:t>
      </w:r>
    </w:p>
    <w:p>
      <w:pPr>
        <w:pStyle w:val="Heading2"/>
      </w:pPr>
      <w:r>
        <w:t>2. Ziele und Dringlichkeit</w:t>
      </w:r>
    </w:p>
    <w:p>
      <w:r>
        <w:t>Eva will den Studiorechner herausverlangen und Konten sichern.</w:t>
      </w:r>
    </w:p>
    <w:p>
      <w:r>
        <w:t>Jana bestreitet die Wirksamkeit des Testaments und verlangt Nachlassverzeichnis.</w:t>
      </w:r>
    </w:p>
    <w:p>
      <w:r>
        <w:t>Ralf verweigert Herausgabe, bis geklärt ist, wer Eigentümer der Rohdaten ist.</w:t>
      </w:r>
    </w:p>
    <w:p>
      <w:pPr>
        <w:pStyle w:val="Heading2"/>
      </w:pPr>
      <w:r>
        <w:t>3. Offene Unterlagen</w:t>
      </w:r>
    </w:p>
    <w:p>
      <w:r>
        <w:t>Erbscheinsantrag mit Testamentsauslegung vorbereiten.</w:t>
      </w:r>
    </w:p>
    <w:p>
      <w:r>
        <w:t>Sicherung des Rechners ohne Datenveränderung verlangen.</w:t>
      </w:r>
    </w:p>
    <w:p>
      <w:r>
        <w:t>Bildagentur zur Zurückhaltung laufender Auszahlungen auffordern.</w:t>
      </w:r>
    </w:p>
    <w:p>
      <w:r>
        <w:t>Nachlassverzeichnis digital und analog getrennt strukturieren.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