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Sachverhalt aus Mandantensicht</w:t>
      </w:r>
    </w:p>
    <w:p>
      <w:pPr>
        <w:pStyle w:val="Heading2"/>
      </w:pPr>
      <w:r>
        <w:t>1. Erinnerung</w:t>
      </w:r>
    </w:p>
    <w:p>
      <w:r>
        <w:t>Ein handschriftliches Testament nennt Eva als Alleinerbin, enthält aber einen späteren Zettel zugunsten Jana.</w:t>
      </w:r>
    </w:p>
    <w:p>
      <w:r>
        <w:t>Jana verlangt Auskunft und Zugriff auf das Bildarchiv ihres Vaters.</w:t>
      </w:r>
    </w:p>
    <w:p>
      <w:r>
        <w:t>Ralf behauptet, er sichere nur die Daten, weil Eva technisch überfordert sei.</w:t>
      </w:r>
    </w:p>
    <w:p>
      <w:r>
        <w:t>Im Passwortsafe liegen mutmaßlich Bank-, Plattform- und Cloudzugänge.</w:t>
      </w:r>
    </w:p>
    <w:p>
      <w:r>
        <w:t>Bildagentur Nordfenster schuldet Honorar, verlangt aber Nachweis der Rechtsnachfolge.</w:t>
      </w:r>
    </w:p>
    <w:p>
      <w:r>
        <w:t>Ein Kunde droht wegen nicht gelieferter Hochzeitsbilder mit Rückforderung.</w:t>
      </w:r>
    </w:p>
    <w:p>
      <w:pPr>
        <w:pStyle w:val="Heading2"/>
      </w:pPr>
      <w:r>
        <w:t>2. Streitpunkte</w:t>
      </w:r>
    </w:p>
    <w:p>
      <w:r>
        <w:t>Eva will den Studiorechner herausverlangen und Konten sichern.</w:t>
      </w:r>
    </w:p>
    <w:p>
      <w:r>
        <w:t>Jana bestreitet die Wirksamkeit des Testaments und verlangt Nachlassverzeichnis.</w:t>
      </w:r>
    </w:p>
    <w:p>
      <w:r>
        <w:t>Ralf verweigert Herausgabe, bis geklärt ist, wer Eigentümer der Rohdaten ist.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