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Standpunkt der Gegenseite</w:t>
      </w:r>
    </w:p>
    <w:p>
      <w:pPr>
        <w:pStyle w:val="Heading2"/>
      </w:pPr>
      <w:r>
        <w:t>1. Kernaussagen</w:t>
      </w:r>
    </w:p>
    <w:p>
      <w:r>
        <w:t>Eva will den Studiorechner herausverlangen und Konten sichern.</w:t>
      </w:r>
    </w:p>
    <w:p>
      <w:r>
        <w:t>Jana bestreitet die Wirksamkeit des Testaments und verlangt Nachlassverzeichnis.</w:t>
      </w:r>
    </w:p>
    <w:p>
      <w:r>
        <w:t>Ralf verweigert Herausgabe, bis geklärt ist, wer Eigentümer der Rohdaten ist.</w:t>
      </w:r>
    </w:p>
    <w:p>
      <w:pPr>
        <w:pStyle w:val="Heading2"/>
      </w:pPr>
      <w:r>
        <w:t>2. Angriffspunkte</w:t>
      </w:r>
    </w:p>
    <w:p>
      <w:r>
        <w:t>Erbscheinsantrag mit Testamentsauslegung vorbereiten.</w:t>
      </w:r>
    </w:p>
    <w:p>
      <w:r>
        <w:t>Sicherung des Rechners ohne Datenveränderung verlangen.</w:t>
      </w:r>
    </w:p>
    <w:p>
      <w:r>
        <w:t>Bildagentur zur Zurückhaltung laufender Auszahlungen auffordern.</w:t>
      </w:r>
    </w:p>
    <w:p>
      <w:r>
        <w:t>Nachlassverzeichnis digital und analog getrennt strukturieren.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