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Bildagentur Nordfenster Abrechnung und Rechtefrage</w:t>
      </w:r>
    </w:p>
    <w:p>
      <w:pPr>
        <w:pStyle w:val="Heading2"/>
      </w:pPr>
      <w:r>
        <w:t>1. Abrechnung</w:t>
      </w:r>
    </w:p>
    <w:p>
      <w:r>
        <w:t>Offene Nettohonorare 7.840 EUR für Architekturserie Hafenstadt. Agentur benötigt Erbnachweis und Weisung zur Auszahlung.</w:t>
      </w:r>
    </w:p>
    <w:p>
      <w:pPr>
        <w:pStyle w:val="Heading2"/>
      </w:pPr>
      <w:r>
        <w:t>2. Rechtefrage</w:t>
      </w:r>
    </w:p>
    <w:p>
      <w:r>
        <w:t>Model-Releases liegen teils nur digital vor. Zwei Kunden verlangen Löschung nicht ausgewählter Bilder.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