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Entwurf nächstes Schreiben</w:t>
      </w:r>
    </w:p>
    <w:p>
      <w:pPr>
        <w:pStyle w:val="Heading2"/>
      </w:pPr>
      <w:r>
        <w:t>1. Betreff und Ziel</w:t>
      </w:r>
    </w:p>
    <w:p>
      <w:r>
        <w:t>Nachlass Lohse - Digitaler Nachlass</w:t>
      </w:r>
    </w:p>
    <w:p>
      <w:r>
        <w:t>Der Entwurf hält den Sachverhalt bewusst offen, verlangt Belege nach und wahrt Fristen.</w:t>
      </w:r>
    </w:p>
    <w:p>
      <w:pPr>
        <w:pStyle w:val="Heading2"/>
      </w:pPr>
      <w:r>
        <w:t>2. Forderungen oder Anträge</w:t>
      </w:r>
    </w:p>
    <w:p>
      <w:r>
        <w:t>Erbscheinsantrag mit Testamentsauslegung vorbereiten.</w:t>
      </w:r>
    </w:p>
    <w:p>
      <w:r>
        <w:t>Sicherung des Rechners ohne Datenveränderung verlangen.</w:t>
      </w:r>
    </w:p>
    <w:p>
      <w:r>
        <w:t>Bildagentur zur Zurückhaltung laufender Auszahlungen auffordern.</w:t>
      </w:r>
    </w:p>
    <w:p>
      <w:r>
        <w:t>Nachlassverzeichnis digital und analog getrennt strukturieren.</w:t>
      </w:r>
    </w:p>
    <w:p>
      <w:pPr>
        <w:pStyle w:val="Heading2"/>
      </w:pPr>
      <w:r>
        <w:t>3. Anlagenlogik</w:t>
      </w:r>
    </w:p>
    <w:p>
      <w:r>
        <w:t>Anlagen werden nach Aktenstück und Datum bezeichnet; widersprüchliche Unterlagen bleiben kenntlich.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