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Nachtrag Wohnrecht, Pflege und Ackerpacht</w:t>
      </w:r>
    </w:p>
    <w:p>
      <w:pPr>
        <w:pStyle w:val="Heading2"/>
      </w:pPr>
      <w:r>
        <w:t>1. Neue Unterlagen</w:t>
      </w:r>
    </w:p>
    <w:p>
      <w:r>
        <w:t>Ein Pachtvertrag über zwei Ackerflächen, eine Pflegezeitenliste und ein Schreiben des Pflegeheims sind aufgetaucht. Die Beteiligten bewerten dieselben Zahlungen unterschiedlich: Pflegeausgleich, Pacht, Unterhalt oder bloße Familienhilfe.</w:t>
      </w:r>
    </w:p>
    <w:p>
      <w:pPr>
        <w:pStyle w:val="Heading2"/>
      </w:pPr>
      <w:r>
        <w:t>2. Bedeutung</w:t>
      </w:r>
    </w:p>
    <w:p>
      <w:r>
        <w:t>Der Nachtrag verschärft die Frage, ob die Schenkung wirtschaftlich vollständig aus dem Vermögen herausgegeben wurde und welche Gegenleistungen den Wert mindern.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