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Mandatsnotiz Erstgespräch</w:t>
      </w:r>
    </w:p>
    <w:p>
      <w:pPr>
        <w:pStyle w:val="Heading2"/>
      </w:pPr>
      <w:r>
        <w:t>1. Ausgangspunkt</w:t>
      </w:r>
    </w:p>
    <w:p>
      <w:r>
        <w:t>Helga übertrug 2018 das Haus in Keitum auf Karsten, behielt sich lebenslangen Nießbrauch und Wohnrecht vor.</w:t>
      </w:r>
    </w:p>
    <w:p>
      <w:r>
        <w:t>Karsten behauptet erhebliche Pflegeleistungen und Investitionen in Dach und Heizung.</w:t>
      </w:r>
    </w:p>
    <w:p>
      <w:r>
        <w:t>Anja sieht eine nahezu vollständige wirtschaftliche Beibehaltung der Nutzung bei der Erblasserin.</w:t>
      </w:r>
    </w:p>
    <w:p>
      <w:pPr>
        <w:pStyle w:val="Heading2"/>
      </w:pPr>
      <w:r>
        <w:t>2. Ziele und Dringlichkeit</w:t>
      </w:r>
    </w:p>
    <w:p>
      <w:r>
        <w:t>Anja verlangt notarielles Nachlassverzeichnis und Wertermittlung.</w:t>
      </w:r>
    </w:p>
    <w:p>
      <w:r>
        <w:t>Karsten verweist auf Zehnjahresfrist und Pflegeleistungen.</w:t>
      </w:r>
    </w:p>
    <w:p>
      <w:r>
        <w:t>Theo will mit dem Streit nichts zu tun haben, ist aber Beschenkter.</w:t>
      </w:r>
    </w:p>
    <w:p>
      <w:pPr>
        <w:pStyle w:val="Heading2"/>
      </w:pPr>
      <w:r>
        <w:t>3. Offene Unterlagen</w:t>
      </w:r>
    </w:p>
    <w:p>
      <w:r>
        <w:t>Notarielles Nachlassverzeichnis beantragen.</w:t>
      </w:r>
    </w:p>
    <w:p>
      <w:r>
        <w:t>Nießbrauch und tatsächliche Nutzung anhand Vertrag und Konto prüfen.</w:t>
      </w:r>
    </w:p>
    <w:p>
      <w:r>
        <w:t>Depotübertrag mit Erträgen und Rückflüssen rekonstruieren.</w:t>
      </w:r>
    </w:p>
    <w:p>
      <w:r>
        <w:t>Ergänzung gegen Erben und Beschenkten getrennt vorbereiten.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