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Sachverhalt aus Mandantensicht</w:t>
      </w:r>
    </w:p>
    <w:p>
      <w:pPr>
        <w:pStyle w:val="Heading2"/>
      </w:pPr>
      <w:r>
        <w:t>1. Erinnerung</w:t>
      </w:r>
    </w:p>
    <w:p>
      <w:r>
        <w:t>Helga übertrug 2018 das Haus in Keitum auf Karsten, behielt sich lebenslangen Nießbrauch und Wohnrecht vor.</w:t>
      </w:r>
    </w:p>
    <w:p>
      <w:r>
        <w:t>Karsten behauptet erhebliche Pflegeleistungen und Investitionen in Dach und Heizung.</w:t>
      </w:r>
    </w:p>
    <w:p>
      <w:r>
        <w:t>Anja sieht eine nahezu vollständige wirtschaftliche Beibehaltung der Nutzung bei der Erblasserin.</w:t>
      </w:r>
    </w:p>
    <w:p>
      <w:r>
        <w:t>Ein Depot wurde 2021 auf den Enkel Theo übertragen; die Erblasserin erhielt weiterhin Zinsen auf ihr Konto.</w:t>
      </w:r>
    </w:p>
    <w:p>
      <w:r>
        <w:t>Das private Nachlassverzeichnis enthält Schmuck, Hausrat und Bankguthaben nur grob.</w:t>
      </w:r>
    </w:p>
    <w:p>
      <w:r>
        <w:t>Die Immobilienbewertung schwankt wegen Nießbrauch, Ferienvermietung und Sanierungsstau.</w:t>
      </w:r>
    </w:p>
    <w:p>
      <w:pPr>
        <w:pStyle w:val="Heading2"/>
      </w:pPr>
      <w:r>
        <w:t>2. Streitpunkte</w:t>
      </w:r>
    </w:p>
    <w:p>
      <w:r>
        <w:t>Anja verlangt notarielles Nachlassverzeichnis und Wertermittlung.</w:t>
      </w:r>
    </w:p>
    <w:p>
      <w:r>
        <w:t>Karsten verweist auf Zehnjahresfrist und Pflegeleistungen.</w:t>
      </w:r>
    </w:p>
    <w:p>
      <w:r>
        <w:t>Theo will mit dem Streit nichts zu tun haben, ist aber Beschenkter.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