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Standpunkt der Gegenseite</w:t>
      </w:r>
    </w:p>
    <w:p>
      <w:pPr>
        <w:pStyle w:val="Heading2"/>
      </w:pPr>
      <w:r>
        <w:t>1. Kernaussagen</w:t>
      </w:r>
    </w:p>
    <w:p>
      <w:r>
        <w:t>Anja verlangt notarielles Nachlassverzeichnis und Wertermittlung.</w:t>
      </w:r>
    </w:p>
    <w:p>
      <w:r>
        <w:t>Karsten verweist auf Zehnjahresfrist und Pflegeleistungen.</w:t>
      </w:r>
    </w:p>
    <w:p>
      <w:r>
        <w:t>Theo will mit dem Streit nichts zu tun haben, ist aber Beschenkter.</w:t>
      </w:r>
    </w:p>
    <w:p>
      <w:pPr>
        <w:pStyle w:val="Heading2"/>
      </w:pPr>
      <w:r>
        <w:t>2. Angriffspunkte</w:t>
      </w:r>
    </w:p>
    <w:p>
      <w:r>
        <w:t>Notarielles Nachlassverzeichnis beantragen.</w:t>
      </w:r>
    </w:p>
    <w:p>
      <w:r>
        <w:t>Nießbrauch und tatsächliche Nutzung anhand Vertrag und Konto prüfen.</w:t>
      </w:r>
    </w:p>
    <w:p>
      <w:r>
        <w:t>Depotübertrag mit Erträgen und Rückflüssen rekonstruieren.</w:t>
      </w:r>
    </w:p>
    <w:p>
      <w:r>
        <w:t>Ergänzung gegen Erben und Beschenkten getrennt vorbereiten.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