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Übertragungsvertrag Keitum Auszug</w:t>
      </w:r>
    </w:p>
    <w:p>
      <w:pPr>
        <w:pStyle w:val="Heading2"/>
      </w:pPr>
      <w:r>
        <w:t>1. Übertragung</w:t>
      </w:r>
    </w:p>
    <w:p>
      <w:r>
        <w:t>Helga Martensen überträgt das Grundstück Keitum Flur 18 Flurstück 77 auf Karsten Martensen. Sie behält lebenslangen Nießbrauch, unentgeltliches Wohnrecht und Zustimmungsvorbehalt bei Verkauf.</w:t>
      </w:r>
    </w:p>
    <w:p>
      <w:pPr>
        <w:pStyle w:val="Heading2"/>
      </w:pPr>
      <w:r>
        <w:t>2. Kosten und Lasten</w:t>
      </w:r>
    </w:p>
    <w:p>
      <w:r>
        <w:t>Karsten trägt gewöhnliche Unterhaltung. Außergewöhnliche Sanierungen bleiben im Vertrag unscharf.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