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Entwurf nächstes Schreiben</w:t>
      </w:r>
    </w:p>
    <w:p>
      <w:pPr>
        <w:pStyle w:val="Heading2"/>
      </w:pPr>
      <w:r>
        <w:t>1. Betreff und Ziel</w:t>
      </w:r>
    </w:p>
    <w:p>
      <w:r>
        <w:t>Martensen Nachlass - Pflichtteilsergänzung</w:t>
      </w:r>
    </w:p>
    <w:p>
      <w:r>
        <w:t>Der Entwurf hält den Sachverhalt bewusst offen, verlangt Belege nach und wahrt Fristen.</w:t>
      </w:r>
    </w:p>
    <w:p>
      <w:pPr>
        <w:pStyle w:val="Heading2"/>
      </w:pPr>
      <w:r>
        <w:t>2. Forderungen oder Anträge</w:t>
      </w:r>
    </w:p>
    <w:p>
      <w:r>
        <w:t>Notarielles Nachlassverzeichnis beantragen.</w:t>
      </w:r>
    </w:p>
    <w:p>
      <w:r>
        <w:t>Nießbrauch und tatsächliche Nutzung anhand Vertrag und Konto prüfen.</w:t>
      </w:r>
    </w:p>
    <w:p>
      <w:r>
        <w:t>Depotübertrag mit Erträgen und Rückflüssen rekonstruieren.</w:t>
      </w:r>
    </w:p>
    <w:p>
      <w:r>
        <w:t>Ergänzung gegen Erben und Beschenkten getrennt vorbereiten.</w:t>
      </w:r>
    </w:p>
    <w:p>
      <w:pPr>
        <w:pStyle w:val="Heading2"/>
      </w:pPr>
      <w:r>
        <w:t>3. Anlagenlogik</w:t>
      </w:r>
    </w:p>
    <w:p>
      <w:r>
        <w:t>Anlagen werden nach Aktenstück und Datum bezeichnet; widersprüchliche Unterlagen bleiben kenntlich.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