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Mandatsnotiz Erstgespräch</w:t>
      </w:r>
    </w:p>
    <w:p>
      <w:pPr>
        <w:pStyle w:val="Heading2"/>
      </w:pPr>
      <w:r>
        <w:t>1. Ausgangspunkt</w:t>
      </w:r>
    </w:p>
    <w:p>
      <w:r>
        <w:t>Testament ordnet Dauertestamentsvollstreckung über GmbH-Anteile für zehn Jahre an.</w:t>
      </w:r>
    </w:p>
    <w:p>
      <w:r>
        <w:t>Mara führt operativ die GmbH und braucht Zustimmung für Investitionskredit.</w:t>
      </w:r>
    </w:p>
    <w:p>
      <w:r>
        <w:t>Tilo ist enterbt, verlangt Auskunft und Unternehmensbewertung.</w:t>
      </w:r>
    </w:p>
    <w:p>
      <w:pPr>
        <w:pStyle w:val="Heading2"/>
      </w:pPr>
      <w:r>
        <w:t>2. Ziele und Dringlichkeit</w:t>
      </w:r>
    </w:p>
    <w:p>
      <w:r>
        <w:t>Mara will schnelle Handlungsfähigkeit und Bankfreigabe.</w:t>
      </w:r>
    </w:p>
    <w:p>
      <w:r>
        <w:t>Tilo vermutet Unterbewertung des Unternehmens und verdeckte Entnahmen.</w:t>
      </w:r>
    </w:p>
    <w:p>
      <w:r>
        <w:t>Der Testamentsvollstrecker beansprucht umfassende Stimmrechtsausübung.</w:t>
      </w:r>
    </w:p>
    <w:p>
      <w:pPr>
        <w:pStyle w:val="Heading2"/>
      </w:pPr>
      <w:r>
        <w:t>3. Offene Unterlagen</w:t>
      </w:r>
    </w:p>
    <w:p>
      <w:r>
        <w:t>Satzung, Testament und Vollstreckerzeugnis nebeneinanderlegen.</w:t>
      </w:r>
    </w:p>
    <w:p>
      <w:r>
        <w:t>Nachlassverzeichnis mit Unternehmensbewertung verlangen.</w:t>
      </w:r>
    </w:p>
    <w:p>
      <w:r>
        <w:t>Bank-Covenants und Gesellschafterliste fristnah sichern.</w:t>
      </w:r>
    </w:p>
    <w:p>
      <w:r>
        <w:t>Vergleichskorridor Pflichtteil plus Stundung prüfen.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