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Chronologie Arbeitsstand</w:t>
      </w:r>
    </w:p>
    <w:p>
      <w:pPr>
        <w:pStyle w:val="Heading2"/>
      </w:pPr>
      <w:r>
        <w:t>1. Datengerüst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Datum</w:t>
            </w:r>
          </w:p>
        </w:tc>
        <w:tc>
          <w:tcPr>
            <w:tcW w:type="dxa" w:w="2160"/>
          </w:tcPr>
          <w:p>
            <w:r>
              <w:t>Vorgang</w:t>
            </w:r>
          </w:p>
        </w:tc>
        <w:tc>
          <w:tcPr>
            <w:tcW w:type="dxa" w:w="2160"/>
          </w:tcPr>
          <w:p>
            <w:r>
              <w:t>Beleg</w:t>
            </w:r>
          </w:p>
        </w:tc>
        <w:tc>
          <w:tcPr>
            <w:tcW w:type="dxa" w:w="2160"/>
          </w:tcPr>
          <w:p>
            <w:r>
              <w:t>Unsicherheit</w:t>
            </w:r>
          </w:p>
        </w:tc>
      </w:tr>
      <w:tr>
        <w:tc>
          <w:tcPr>
            <w:tcW w:type="dxa" w:w="2160"/>
          </w:tcPr>
          <w:p>
            <w:r>
              <w:t>11.04.2026</w:t>
            </w:r>
          </w:p>
        </w:tc>
        <w:tc>
          <w:tcPr>
            <w:tcW w:type="dxa" w:w="2160"/>
          </w:tcPr>
          <w:p>
            <w:r>
              <w:t>Tod Heinrich Baumann</w:t>
            </w:r>
          </w:p>
        </w:tc>
        <w:tc>
          <w:tcPr>
            <w:tcW w:type="dxa" w:w="2160"/>
          </w:tcPr>
          <w:p>
            <w:r>
              <w:t>Sterbeurkunde</w:t>
            </w:r>
          </w:p>
        </w:tc>
        <w:tc>
          <w:tcPr>
            <w:tcW w:type="dxa" w:w="2160"/>
          </w:tcPr>
          <w:p>
            <w:r>
              <w:t>unstreitig</w:t>
            </w:r>
          </w:p>
        </w:tc>
      </w:tr>
      <w:tr>
        <w:tc>
          <w:tcPr>
            <w:tcW w:type="dxa" w:w="2160"/>
          </w:tcPr>
          <w:p>
            <w:r>
              <w:t>18.04.2026</w:t>
            </w:r>
          </w:p>
        </w:tc>
        <w:tc>
          <w:tcPr>
            <w:tcW w:type="dxa" w:w="2160"/>
          </w:tcPr>
          <w:p>
            <w:r>
              <w:t>Testamentsvollstrecker nimmt Amt an</w:t>
            </w:r>
          </w:p>
        </w:tc>
        <w:tc>
          <w:tcPr>
            <w:tcW w:type="dxa" w:w="2160"/>
          </w:tcPr>
          <w:p>
            <w:r>
              <w:t>Schreiben</w:t>
            </w:r>
          </w:p>
        </w:tc>
        <w:tc>
          <w:tcPr>
            <w:tcW w:type="dxa" w:w="2160"/>
          </w:tcPr>
          <w:p>
            <w:r>
              <w:t>Umfang streitig</w:t>
            </w:r>
          </w:p>
        </w:tc>
      </w:tr>
      <w:tr>
        <w:tc>
          <w:tcPr>
            <w:tcW w:type="dxa" w:w="2160"/>
          </w:tcPr>
          <w:p>
            <w:r>
              <w:t>22.04.2026</w:t>
            </w:r>
          </w:p>
        </w:tc>
        <w:tc>
          <w:tcPr>
            <w:tcW w:type="dxa" w:w="2160"/>
          </w:tcPr>
          <w:p>
            <w:r>
              <w:t>Bank friert Kreditlinie ein</w:t>
            </w:r>
          </w:p>
        </w:tc>
        <w:tc>
          <w:tcPr>
            <w:tcW w:type="dxa" w:w="2160"/>
          </w:tcPr>
          <w:p>
            <w:r>
              <w:t>Bankmail</w:t>
            </w:r>
          </w:p>
        </w:tc>
        <w:tc>
          <w:tcPr>
            <w:tcW w:type="dxa" w:w="2160"/>
          </w:tcPr>
          <w:p>
            <w:r>
              <w:t>Covenant unklar</w:t>
            </w:r>
          </w:p>
        </w:tc>
      </w:tr>
      <w:tr>
        <w:tc>
          <w:tcPr>
            <w:tcW w:type="dxa" w:w="2160"/>
          </w:tcPr>
          <w:p>
            <w:r>
              <w:t>02.05.2026</w:t>
            </w:r>
          </w:p>
        </w:tc>
        <w:tc>
          <w:tcPr>
            <w:tcW w:type="dxa" w:w="2160"/>
          </w:tcPr>
          <w:p>
            <w:r>
              <w:t>Tilo fordert Pflichtteil</w:t>
            </w:r>
          </w:p>
        </w:tc>
        <w:tc>
          <w:tcPr>
            <w:tcW w:type="dxa" w:w="2160"/>
          </w:tcPr>
          <w:p>
            <w:r>
              <w:t>Anwaltsschreiben</w:t>
            </w:r>
          </w:p>
        </w:tc>
        <w:tc>
          <w:tcPr>
            <w:tcW w:type="dxa" w:w="2160"/>
          </w:tcPr>
          <w:p>
            <w:r>
              <w:t>Bewertung offen</w:t>
            </w:r>
          </w:p>
        </w:tc>
      </w:tr>
      <w:tr>
        <w:tc>
          <w:tcPr>
            <w:tcW w:type="dxa" w:w="2160"/>
          </w:tcPr>
          <w:p>
            <w:r>
              <w:t>15.06.2026</w:t>
            </w:r>
          </w:p>
        </w:tc>
        <w:tc>
          <w:tcPr>
            <w:tcW w:type="dxa" w:w="2160"/>
          </w:tcPr>
          <w:p>
            <w:r>
              <w:t>Gesellschafterliste nicht eingereicht</w:t>
            </w:r>
          </w:p>
        </w:tc>
        <w:tc>
          <w:tcPr>
            <w:tcW w:type="dxa" w:w="2160"/>
          </w:tcPr>
          <w:p>
            <w:r>
              <w:t>Notiz Notar</w:t>
            </w:r>
          </w:p>
        </w:tc>
        <w:tc>
          <w:tcPr>
            <w:tcW w:type="dxa" w:w="2160"/>
          </w:tcPr>
          <w:p>
            <w:r>
              <w:t>Vertretungsmacht offen</w:t>
            </w:r>
          </w:p>
        </w:tc>
      </w:tr>
    </w:tbl>
    <w:p>
      <w:pPr>
        <w:pStyle w:val="Heading2"/>
      </w:pPr>
      <w:r>
        <w:t>2. Unsaubere Punkte</w:t>
      </w:r>
    </w:p>
    <w:p>
      <w:r>
        <w:t>Testament ordnet Dauertestamentsvollstreckung über GmbH-Anteile für zehn Jahre an.</w:t>
      </w:r>
    </w:p>
    <w:p>
      <w:r>
        <w:t>Mara führt operativ die GmbH und braucht Zustimmung für Investitionskredit.</w:t>
      </w:r>
    </w:p>
    <w:p>
      <w:r>
        <w:t>Tilo ist enterbt, verlangt Auskunft und Unternehmensbewertung.</w:t>
      </w:r>
    </w:p>
    <w:p>
      <w:r>
        <w:t>Die Satzung enthält Vinkulierung und Nachfolgeklausel, deren Zusammenspiel mit dem Testament ungeklärt ist.</w:t>
      </w:r>
    </w:p>
    <w:p>
      <w:r>
        <w:t>Bank verlangt rechtsverbindliche Vertretung und belastbare Geschäftsführungsfreigabe.</w:t>
      </w:r>
    </w:p>
    <w:p>
      <w:r>
        <w:t>Mitarbeiter befürchten Verkauf an Wettbewerber.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