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Sachverhalt aus Mandantensicht</w:t>
      </w:r>
    </w:p>
    <w:p>
      <w:pPr>
        <w:pStyle w:val="Heading2"/>
      </w:pPr>
      <w:r>
        <w:t>1. Erinnerung</w:t>
      </w:r>
    </w:p>
    <w:p>
      <w:r>
        <w:t>Testament ordnet Dauertestamentsvollstreckung über GmbH-Anteile für zehn Jahre an.</w:t>
      </w:r>
    </w:p>
    <w:p>
      <w:r>
        <w:t>Mara führt operativ die GmbH und braucht Zustimmung für Investitionskredit.</w:t>
      </w:r>
    </w:p>
    <w:p>
      <w:r>
        <w:t>Tilo ist enterbt, verlangt Auskunft und Unternehmensbewertung.</w:t>
      </w:r>
    </w:p>
    <w:p>
      <w:r>
        <w:t>Die Satzung enthält Vinkulierung und Nachfolgeklausel, deren Zusammenspiel mit dem Testament ungeklärt ist.</w:t>
      </w:r>
    </w:p>
    <w:p>
      <w:r>
        <w:t>Bank verlangt rechtsverbindliche Vertretung und belastbare Geschäftsführungsfreigabe.</w:t>
      </w:r>
    </w:p>
    <w:p>
      <w:r>
        <w:t>Mitarbeiter befürchten Verkauf an Wettbewerber.</w:t>
      </w:r>
    </w:p>
    <w:p>
      <w:pPr>
        <w:pStyle w:val="Heading2"/>
      </w:pPr>
      <w:r>
        <w:t>2. Streitpunkte</w:t>
      </w:r>
    </w:p>
    <w:p>
      <w:r>
        <w:t>Mara will schnelle Handlungsfähigkeit und Bankfreigabe.</w:t>
      </w:r>
    </w:p>
    <w:p>
      <w:r>
        <w:t>Tilo vermutet Unterbewertung des Unternehmens und verdeckte Entnahmen.</w:t>
      </w:r>
    </w:p>
    <w:p>
      <w:r>
        <w:t>Der Testamentsvollstrecker beansprucht umfassende Stimmrechtsausübung.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