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Standpunkt der Gegenseite</w:t>
      </w:r>
    </w:p>
    <w:p>
      <w:pPr>
        <w:pStyle w:val="Heading2"/>
      </w:pPr>
      <w:r>
        <w:t>1. Kernaussagen</w:t>
      </w:r>
    </w:p>
    <w:p>
      <w:r>
        <w:t>Mara will schnelle Handlungsfähigkeit und Bankfreigabe.</w:t>
      </w:r>
    </w:p>
    <w:p>
      <w:r>
        <w:t>Tilo vermutet Unterbewertung des Unternehmens und verdeckte Entnahmen.</w:t>
      </w:r>
    </w:p>
    <w:p>
      <w:r>
        <w:t>Der Testamentsvollstrecker beansprucht umfassende Stimmrechtsausübung.</w:t>
      </w:r>
    </w:p>
    <w:p>
      <w:pPr>
        <w:pStyle w:val="Heading2"/>
      </w:pPr>
      <w:r>
        <w:t>2. Angriffspunkte</w:t>
      </w:r>
    </w:p>
    <w:p>
      <w:r>
        <w:t>Satzung, Testament und Vollstreckerzeugnis nebeneinanderlegen.</w:t>
      </w:r>
    </w:p>
    <w:p>
      <w:r>
        <w:t>Nachlassverzeichnis mit Unternehmensbewertung verlangen.</w:t>
      </w:r>
    </w:p>
    <w:p>
      <w:r>
        <w:t>Bank-Covenants und Gesellschafterliste fristnah sichern.</w:t>
      </w:r>
    </w:p>
    <w:p>
      <w:r>
        <w:t>Vergleichskorridor Pflichtteil plus Stundung prüfen.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