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Bankmail und Covenant-Notiz</w:t>
      </w:r>
    </w:p>
    <w:p>
      <w:pPr>
        <w:pStyle w:val="Heading2"/>
      </w:pPr>
      <w:r>
        <w:t>1. Bankstandpunkt</w:t>
      </w:r>
    </w:p>
    <w:p>
      <w:r>
        <w:t>Mainfranken Bank sieht Kontrollwechsel und fehlende Erbnachweise. Betriebsmittellinie 2.400.000 EUR wird nur bis 31.07.2026 verlängert.</w:t>
      </w:r>
    </w:p>
    <w:p>
      <w:pPr>
        <w:pStyle w:val="Heading2"/>
      </w:pPr>
      <w:r>
        <w:t>2. Offene Punkte</w:t>
      </w:r>
    </w:p>
    <w:p>
      <w:r>
        <w:t>Vertretung der Erbengemeinschaft, Vollstreckerzeugnis, Gesellschafterliste, Fortführungsplan und Bewertung der Pflichtteilsliquidität.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