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Entwurf nächstes Schreiben</w:t>
      </w:r>
    </w:p>
    <w:p>
      <w:pPr>
        <w:pStyle w:val="Heading2"/>
      </w:pPr>
      <w:r>
        <w:t>1. Betreff und Ziel</w:t>
      </w:r>
    </w:p>
    <w:p>
      <w:r>
        <w:t>Baumann Nachfolge - Testamentsvollstreckung und GmbH</w:t>
      </w:r>
    </w:p>
    <w:p>
      <w:r>
        <w:t>Der Entwurf hält den Sachverhalt bewusst offen, verlangt Belege nach und wahrt Fristen.</w:t>
      </w:r>
    </w:p>
    <w:p>
      <w:pPr>
        <w:pStyle w:val="Heading2"/>
      </w:pPr>
      <w:r>
        <w:t>2. Forderungen oder Anträge</w:t>
      </w:r>
    </w:p>
    <w:p>
      <w:r>
        <w:t>Satzung, Testament und Vollstreckerzeugnis nebeneinanderlegen.</w:t>
      </w:r>
    </w:p>
    <w:p>
      <w:r>
        <w:t>Nachlassverzeichnis mit Unternehmensbewertung verlangen.</w:t>
      </w:r>
    </w:p>
    <w:p>
      <w:r>
        <w:t>Bank-Covenants und Gesellschafterliste fristnah sichern.</w:t>
      </w:r>
    </w:p>
    <w:p>
      <w:r>
        <w:t>Vergleichskorridor Pflichtteil plus Stundung prüfen.</w:t>
      </w:r>
    </w:p>
    <w:p>
      <w:pPr>
        <w:pStyle w:val="Heading2"/>
      </w:pPr>
      <w:r>
        <w:t>3. Anlagenlogik</w:t>
      </w:r>
    </w:p>
    <w:p>
      <w:r>
        <w:t>Anlagen werden nach Aktenstück und Datum bezeichnet; widersprüchliche Unterlagen bleiben kenntlich.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