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Mandatsnotiz Erstgespräch</w:t>
      </w:r>
    </w:p>
    <w:p>
      <w:pPr>
        <w:pStyle w:val="Heading2"/>
      </w:pPr>
      <w:r>
        <w:t>1. Ausgangspunkt</w:t>
      </w:r>
    </w:p>
    <w:p>
      <w:r>
        <w:t>Derya schildert Drohungen und eine beschädigte Schlafzimmertür.</w:t>
      </w:r>
    </w:p>
    <w:p>
      <w:r>
        <w:t>Cem bestreitet Gewalt und behauptet, Derya verhindere Umgang seit Wochen.</w:t>
      </w:r>
    </w:p>
    <w:p>
      <w:r>
        <w:t>Leila schreibt der Schulsozialarbeiterin, sie wolle Ruhe und keine Nachrichten über sie.</w:t>
      </w:r>
    </w:p>
    <w:p>
      <w:pPr>
        <w:pStyle w:val="Heading2"/>
      </w:pPr>
      <w:r>
        <w:t>2. Ziele und Dringlichkeit</w:t>
      </w:r>
    </w:p>
    <w:p>
      <w:r>
        <w:t>Derya beantragt Kontakt- und Näherungsverbot sowie Wohnungszuweisung.</w:t>
      </w:r>
    </w:p>
    <w:p>
      <w:r>
        <w:t>Cem beantragt begleiteten Umgang und gemeinsame Sorge für Schulentscheidungen.</w:t>
      </w:r>
    </w:p>
    <w:p>
      <w:r>
        <w:t>Streit besteht über Eskalationsursache, Kindeswille, Manipulationsvorwurf und Übergabemodus.</w:t>
      </w:r>
    </w:p>
    <w:p>
      <w:pPr>
        <w:pStyle w:val="Heading2"/>
      </w:pPr>
      <w:r>
        <w:t>3. Offene Unterlagen</w:t>
      </w:r>
    </w:p>
    <w:p>
      <w:r>
        <w:t>Polizeivermerk vollständig anfordern.</w:t>
      </w:r>
    </w:p>
    <w:p>
      <w:r>
        <w:t>Kindesanhörung und Verfahrensbeistand vorbereiten.</w:t>
      </w:r>
    </w:p>
    <w:p>
      <w:r>
        <w:t>Schutzanordnung zeitlich und räumlich konkret formulieren.</w:t>
      </w:r>
    </w:p>
    <w:p>
      <w:r>
        <w:t>Umgangsalternative mit neutralem Übergabeort prüfen.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