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18.06.2026</w:t>
            </w:r>
          </w:p>
        </w:tc>
        <w:tc>
          <w:tcPr>
            <w:tcW w:type="dxa" w:w="2160"/>
          </w:tcPr>
          <w:p>
            <w:r>
              <w:t>Polizeieinsatz in Wohnung</w:t>
            </w:r>
          </w:p>
        </w:tc>
        <w:tc>
          <w:tcPr>
            <w:tcW w:type="dxa" w:w="2160"/>
          </w:tcPr>
          <w:p>
            <w:r>
              <w:t>Einsatzvermerk</w:t>
            </w:r>
          </w:p>
        </w:tc>
        <w:tc>
          <w:tcPr>
            <w:tcW w:type="dxa" w:w="2160"/>
          </w:tcPr>
          <w:p>
            <w:r>
              <w:t>Details knapp</w:t>
            </w:r>
          </w:p>
        </w:tc>
      </w:tr>
      <w:tr>
        <w:tc>
          <w:tcPr>
            <w:tcW w:type="dxa" w:w="2160"/>
          </w:tcPr>
          <w:p>
            <w:r>
              <w:t>19.06.2026</w:t>
            </w:r>
          </w:p>
        </w:tc>
        <w:tc>
          <w:tcPr>
            <w:tcW w:type="dxa" w:w="2160"/>
          </w:tcPr>
          <w:p>
            <w:r>
              <w:t>Derya zieht zu Schwester</w:t>
            </w:r>
          </w:p>
        </w:tc>
        <w:tc>
          <w:tcPr>
            <w:tcW w:type="dxa" w:w="2160"/>
          </w:tcPr>
          <w:p>
            <w:r>
              <w:t>Mandatsnotiz</w:t>
            </w:r>
          </w:p>
        </w:tc>
        <w:tc>
          <w:tcPr>
            <w:tcW w:type="dxa" w:w="2160"/>
          </w:tcPr>
          <w:p>
            <w:r>
              <w:t>Wohnungszugang offen</w:t>
            </w:r>
          </w:p>
        </w:tc>
      </w:tr>
      <w:tr>
        <w:tc>
          <w:tcPr>
            <w:tcW w:type="dxa" w:w="2160"/>
          </w:tcPr>
          <w:p>
            <w:r>
              <w:t>21.06.2026</w:t>
            </w:r>
          </w:p>
        </w:tc>
        <w:tc>
          <w:tcPr>
            <w:tcW w:type="dxa" w:w="2160"/>
          </w:tcPr>
          <w:p>
            <w:r>
              <w:t>Cem holt Kinder nicht ab</w:t>
            </w:r>
          </w:p>
        </w:tc>
        <w:tc>
          <w:tcPr>
            <w:tcW w:type="dxa" w:w="2160"/>
          </w:tcPr>
          <w:p>
            <w:r>
              <w:t>Messenger</w:t>
            </w:r>
          </w:p>
        </w:tc>
        <w:tc>
          <w:tcPr>
            <w:tcW w:type="dxa" w:w="2160"/>
          </w:tcPr>
          <w:p>
            <w:r>
              <w:t>Grund streitig</w:t>
            </w:r>
          </w:p>
        </w:tc>
      </w:tr>
      <w:tr>
        <w:tc>
          <w:tcPr>
            <w:tcW w:type="dxa" w:w="2160"/>
          </w:tcPr>
          <w:p>
            <w:r>
              <w:t>24.06.2026</w:t>
            </w:r>
          </w:p>
        </w:tc>
        <w:tc>
          <w:tcPr>
            <w:tcW w:type="dxa" w:w="2160"/>
          </w:tcPr>
          <w:p>
            <w:r>
              <w:t>Schulsozialarbeit meldet Sorge</w:t>
            </w:r>
          </w:p>
        </w:tc>
        <w:tc>
          <w:tcPr>
            <w:tcW w:type="dxa" w:w="2160"/>
          </w:tcPr>
          <w:p>
            <w:r>
              <w:t>Schulnotiz</w:t>
            </w:r>
          </w:p>
        </w:tc>
        <w:tc>
          <w:tcPr>
            <w:tcW w:type="dxa" w:w="2160"/>
          </w:tcPr>
          <w:p>
            <w:r>
              <w:t>Kinder unterschiedlich</w:t>
            </w:r>
          </w:p>
        </w:tc>
      </w:tr>
      <w:tr>
        <w:tc>
          <w:tcPr>
            <w:tcW w:type="dxa" w:w="2160"/>
          </w:tcPr>
          <w:p>
            <w:r>
              <w:t>02.07.2026</w:t>
            </w:r>
          </w:p>
        </w:tc>
        <w:tc>
          <w:tcPr>
            <w:tcW w:type="dxa" w:w="2160"/>
          </w:tcPr>
          <w:p>
            <w:r>
              <w:t>Eilantrag vorbereitet</w:t>
            </w:r>
          </w:p>
        </w:tc>
        <w:tc>
          <w:tcPr>
            <w:tcW w:type="dxa" w:w="2160"/>
          </w:tcPr>
          <w:p>
            <w:r>
              <w:t>Entwurf</w:t>
            </w:r>
          </w:p>
        </w:tc>
        <w:tc>
          <w:tcPr>
            <w:tcW w:type="dxa" w:w="2160"/>
          </w:tcPr>
          <w:p>
            <w:r>
              <w:t>Anhörung offen</w:t>
            </w:r>
          </w:p>
        </w:tc>
      </w:tr>
    </w:tbl>
    <w:p>
      <w:pPr>
        <w:pStyle w:val="Heading2"/>
      </w:pPr>
      <w:r>
        <w:t>2. Unsaubere Punkte</w:t>
      </w:r>
    </w:p>
    <w:p>
      <w:r>
        <w:t>Derya schildert Drohungen und eine beschädigte Schlafzimmertür.</w:t>
      </w:r>
    </w:p>
    <w:p>
      <w:r>
        <w:t>Cem bestreitet Gewalt und behauptet, Derya verhindere Umgang seit Wochen.</w:t>
      </w:r>
    </w:p>
    <w:p>
      <w:r>
        <w:t>Leila schreibt der Schulsozialarbeiterin, sie wolle Ruhe und keine Nachrichten über sie.</w:t>
      </w:r>
    </w:p>
    <w:p>
      <w:r>
        <w:t>Emir fragt in der Kita nach seinem Vater und wirkt beim Abholen weinerlich.</w:t>
      </w:r>
    </w:p>
    <w:p>
      <w:r>
        <w:t>Die Polizei erteilte eine Wegweisung für zehn Tage; Aktenzeichen ist im Scan schwer lesbar.</w:t>
      </w:r>
    </w:p>
    <w:p>
      <w:r>
        <w:t>Es gibt keine ärztliche Verletzungsdokumentation, aber Fotos der Tür und Sprachnachrichten.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