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Derya schildert Drohungen und eine beschädigte Schlafzimmertür.</w:t>
      </w:r>
    </w:p>
    <w:p>
      <w:r>
        <w:t>Cem bestreitet Gewalt und behauptet, Derya verhindere Umgang seit Wochen.</w:t>
      </w:r>
    </w:p>
    <w:p>
      <w:r>
        <w:t>Leila schreibt der Schulsozialarbeiterin, sie wolle Ruhe und keine Nachrichten über sie.</w:t>
      </w:r>
    </w:p>
    <w:p>
      <w:r>
        <w:t>Emir fragt in der Kita nach seinem Vater und wirkt beim Abholen weinerlich.</w:t>
      </w:r>
    </w:p>
    <w:p>
      <w:r>
        <w:t>Die Polizei erteilte eine Wegweisung für zehn Tage; Aktenzeichen ist im Scan schwer lesbar.</w:t>
      </w:r>
    </w:p>
    <w:p>
      <w:r>
        <w:t>Es gibt keine ärztliche Verletzungsdokumentation, aber Fotos der Tür und Sprachnachrichten.</w:t>
      </w:r>
    </w:p>
    <w:p>
      <w:pPr>
        <w:pStyle w:val="Heading2"/>
      </w:pPr>
      <w:r>
        <w:t>2. Streitpunkte</w:t>
      </w:r>
    </w:p>
    <w:p>
      <w:r>
        <w:t>Derya beantragt Kontakt- und Näherungsverbot sowie Wohnungszuweisung.</w:t>
      </w:r>
    </w:p>
    <w:p>
      <w:r>
        <w:t>Cem beantragt begleiteten Umgang und gemeinsame Sorge für Schulentscheidungen.</w:t>
      </w:r>
    </w:p>
    <w:p>
      <w:r>
        <w:t>Streit besteht über Eskalationsursache, Kindeswille, Manipulationsvorwurf und Übergabemodus.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