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Standpunkt der Gegenseite</w:t>
      </w:r>
    </w:p>
    <w:p>
      <w:pPr>
        <w:pStyle w:val="Heading2"/>
      </w:pPr>
      <w:r>
        <w:t>1. Kernaussagen</w:t>
      </w:r>
    </w:p>
    <w:p>
      <w:r>
        <w:t>Derya beantragt Kontakt- und Näherungsverbot sowie Wohnungszuweisung.</w:t>
      </w:r>
    </w:p>
    <w:p>
      <w:r>
        <w:t>Cem beantragt begleiteten Umgang und gemeinsame Sorge für Schulentscheidungen.</w:t>
      </w:r>
    </w:p>
    <w:p>
      <w:r>
        <w:t>Streit besteht über Eskalationsursache, Kindeswille, Manipulationsvorwurf und Übergabemodus.</w:t>
      </w:r>
    </w:p>
    <w:p>
      <w:pPr>
        <w:pStyle w:val="Heading2"/>
      </w:pPr>
      <w:r>
        <w:t>2. Angriffspunkte</w:t>
      </w:r>
    </w:p>
    <w:p>
      <w:r>
        <w:t>Polizeivermerk vollständig anfordern.</w:t>
      </w:r>
    </w:p>
    <w:p>
      <w:r>
        <w:t>Kindesanhörung und Verfahrensbeistand vorbereiten.</w:t>
      </w:r>
    </w:p>
    <w:p>
      <w:r>
        <w:t>Schutzanordnung zeitlich und räumlich konkret formulieren.</w:t>
      </w:r>
    </w:p>
    <w:p>
      <w:r>
        <w:t>Umgangsalternative mit neutralem Übergabeort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