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Notiz Schulsozialarbeit Ruhrallee</w:t>
      </w:r>
    </w:p>
    <w:p>
      <w:pPr>
        <w:pStyle w:val="Heading2"/>
      </w:pPr>
      <w:r>
        <w:t>1. Wahrnehmung</w:t>
      </w:r>
    </w:p>
    <w:p>
      <w:r>
        <w:t>Leila wirkt müde, vermeidet aber Schuldzuweisung. Sie möchte nicht, dass Nachrichten über ihr Tablet laufen. Emir fragt wiederholt, ob Papa sauer ist.</w:t>
      </w:r>
    </w:p>
    <w:p>
      <w:pPr>
        <w:pStyle w:val="Heading2"/>
      </w:pPr>
      <w:r>
        <w:t>2. Schule</w:t>
      </w:r>
    </w:p>
    <w:p>
      <w:r>
        <w:t>Klassenlehrerin bittet um klare Abholregel. Beide Eltern sind im Schulportal hinterlegt; es gibt keinen gerichtlichen Beschluss.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