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Entwurf nächstes Schreiben</w:t>
      </w:r>
    </w:p>
    <w:p>
      <w:pPr>
        <w:pStyle w:val="Heading2"/>
      </w:pPr>
      <w:r>
        <w:t>1. Betreff und Ziel</w:t>
      </w:r>
    </w:p>
    <w:p>
      <w:r>
        <w:t>Aydin ./. Aydin - Sorge Umgang Gewaltschutz</w:t>
      </w:r>
    </w:p>
    <w:p>
      <w:r>
        <w:t>Der Entwurf hält den Sachverhalt bewusst offen, verlangt Belege nach und wahrt Fristen.</w:t>
      </w:r>
    </w:p>
    <w:p>
      <w:pPr>
        <w:pStyle w:val="Heading2"/>
      </w:pPr>
      <w:r>
        <w:t>2. Forderungen oder Anträge</w:t>
      </w:r>
    </w:p>
    <w:p>
      <w:r>
        <w:t>Polizeivermerk vollständig anfordern.</w:t>
      </w:r>
    </w:p>
    <w:p>
      <w:r>
        <w:t>Kindesanhörung und Verfahrensbeistand vorbereiten.</w:t>
      </w:r>
    </w:p>
    <w:p>
      <w:r>
        <w:t>Schutzanordnung zeitlich und räumlich konkret formulieren.</w:t>
      </w:r>
    </w:p>
    <w:p>
      <w:r>
        <w:t>Umgangsalternative mit neutralem Übergabeort prüfen.</w:t>
      </w:r>
    </w:p>
    <w:p>
      <w:pPr>
        <w:pStyle w:val="Heading2"/>
      </w:pPr>
      <w:r>
        <w:t>3. Anlagenlogik</w:t>
      </w:r>
    </w:p>
    <w:p>
      <w:r>
        <w:t>Anlagen werden nach Aktenstück und Datum bezeichnet; widersprüchliche Unterlagen bleiben kenntlich.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