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Nachtrag Depot, Bonus und Kindesmehrbedarf</w:t>
      </w:r>
    </w:p>
    <w:p>
      <w:pPr>
        <w:pStyle w:val="Heading2"/>
      </w:pPr>
      <w:r>
        <w:t>1. Neue Unterlagen</w:t>
      </w:r>
    </w:p>
    <w:p>
      <w:r>
        <w:t>Am 28.06.2026 reicht die Mandantin einen Depotjahresauszug, eine Bonusabrechnung und eine Rechnung für Lerntherapie ein. Der Bonus ist im März gezahlt, aber teilweise für Steuerrückstellungen verwendet worden.</w:t>
      </w:r>
    </w:p>
    <w:p>
      <w:pPr>
        <w:pStyle w:val="Heading2"/>
      </w:pPr>
      <w:r>
        <w:t>2. Bedeutung</w:t>
      </w:r>
    </w:p>
    <w:p>
      <w:r>
        <w:t>Der Nachtrag ändert nicht automatisch das Ergebnis; er zwingt zur Trennung von Einkommen, Vermögensbildung, Mehrbedarf und freiwilligen Leistungen.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