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Mandatsnotiz Erstgespräch</w:t>
      </w:r>
    </w:p>
    <w:p>
      <w:pPr>
        <w:pStyle w:val="Heading2"/>
      </w:pPr>
      <w:r>
        <w:t>1. Ausgangspunkt</w:t>
      </w:r>
    </w:p>
    <w:p>
      <w:r>
        <w:t>Die Eltern leben seit Januar getrennt, wohnen aber nur 1.2 km auseinander.</w:t>
      </w:r>
    </w:p>
    <w:p>
      <w:r>
        <w:t>Nora übernachtet in der Praxiswoche häufiger beim Vater, Jasper bleibt an Schultagen öfter bei der Mutter.</w:t>
      </w:r>
    </w:p>
    <w:p>
      <w:r>
        <w:t>Malte legt BWA Januar bis Mai 2026 vor; Praxiskonto und Privatkonto sind nicht getrennt.</w:t>
      </w:r>
    </w:p>
    <w:p>
      <w:pPr>
        <w:pStyle w:val="Heading2"/>
      </w:pPr>
      <w:r>
        <w:t>2. Ziele und Dringlichkeit</w:t>
      </w:r>
    </w:p>
    <w:p>
      <w:r>
        <w:t>Malte will keinen Tabellenunterhalt zahlen und verweist auf paritätische Betreuung.</w:t>
      </w:r>
    </w:p>
    <w:p>
      <w:r>
        <w:t>Rieke verlangt Barunterhalt, anteilige Mehrkosten und Auskunft über Praxiseinnahmen.</w:t>
      </w:r>
    </w:p>
    <w:p>
      <w:r>
        <w:t>Streit besteht über Bereinigung des Einkommens, Firmenwagen, Praxisdarlehen und Altersvorsorge.</w:t>
      </w:r>
    </w:p>
    <w:p>
      <w:pPr>
        <w:pStyle w:val="Heading2"/>
      </w:pPr>
      <w:r>
        <w:t>3. Offene Unterlagen</w:t>
      </w:r>
    </w:p>
    <w:p>
      <w:r>
        <w:t>Auskunft über Gewinnermittlung 2024 bis Juni 2026 verlangen.</w:t>
      </w:r>
    </w:p>
    <w:p>
      <w:r>
        <w:t>Betreuungstage nach Nächten, Ferien und Krankheit getrennt erfassen.</w:t>
      </w:r>
    </w:p>
    <w:p>
      <w:r>
        <w:t>Mehrbedarf in laufend, einmalig und freiwillig trennen.</w:t>
      </w:r>
    </w:p>
    <w:p>
      <w:r>
        <w:t>Frist für Zahlung unter Vorbehalt bis 20.07.2026 setzen.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