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Chronologie Arbeitsstand</w:t>
      </w:r>
    </w:p>
    <w:p>
      <w:pPr>
        <w:pStyle w:val="Heading2"/>
      </w:pPr>
      <w:r>
        <w:t>1. Datengerüst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Datum</w:t>
            </w:r>
          </w:p>
        </w:tc>
        <w:tc>
          <w:tcPr>
            <w:tcW w:type="dxa" w:w="2160"/>
          </w:tcPr>
          <w:p>
            <w:r>
              <w:t>Vorgang</w:t>
            </w:r>
          </w:p>
        </w:tc>
        <w:tc>
          <w:tcPr>
            <w:tcW w:type="dxa" w:w="2160"/>
          </w:tcPr>
          <w:p>
            <w:r>
              <w:t>Beleg</w:t>
            </w:r>
          </w:p>
        </w:tc>
        <w:tc>
          <w:tcPr>
            <w:tcW w:type="dxa" w:w="2160"/>
          </w:tcPr>
          <w:p>
            <w:r>
              <w:t>Unsicherheit</w:t>
            </w:r>
          </w:p>
        </w:tc>
      </w:tr>
      <w:tr>
        <w:tc>
          <w:tcPr>
            <w:tcW w:type="dxa" w:w="2160"/>
          </w:tcPr>
          <w:p>
            <w:r>
              <w:t>13.01.2026</w:t>
            </w:r>
          </w:p>
        </w:tc>
        <w:tc>
          <w:tcPr>
            <w:tcW w:type="dxa" w:w="2160"/>
          </w:tcPr>
          <w:p>
            <w:r>
              <w:t>Trennung in der Ehewohnung</w:t>
            </w:r>
          </w:p>
        </w:tc>
        <w:tc>
          <w:tcPr>
            <w:tcW w:type="dxa" w:w="2160"/>
          </w:tcPr>
          <w:p>
            <w:r>
              <w:t>Mandatsnotiz</w:t>
            </w:r>
          </w:p>
        </w:tc>
        <w:tc>
          <w:tcPr>
            <w:tcW w:type="dxa" w:w="2160"/>
          </w:tcPr>
          <w:p>
            <w:r>
              <w:t>Datum unstreitig</w:t>
            </w:r>
          </w:p>
        </w:tc>
      </w:tr>
      <w:tr>
        <w:tc>
          <w:tcPr>
            <w:tcW w:type="dxa" w:w="2160"/>
          </w:tcPr>
          <w:p>
            <w:r>
              <w:t>01.03.2026</w:t>
            </w:r>
          </w:p>
        </w:tc>
        <w:tc>
          <w:tcPr>
            <w:tcW w:type="dxa" w:w="2160"/>
          </w:tcPr>
          <w:p>
            <w:r>
              <w:t>Betreuungsplan 2-2-3 beginnt</w:t>
            </w:r>
          </w:p>
        </w:tc>
        <w:tc>
          <w:tcPr>
            <w:tcW w:type="dxa" w:w="2160"/>
          </w:tcPr>
          <w:p>
            <w:r>
              <w:t>Kalender</w:t>
            </w:r>
          </w:p>
        </w:tc>
        <w:tc>
          <w:tcPr>
            <w:tcW w:type="dxa" w:w="2160"/>
          </w:tcPr>
          <w:p>
            <w:r>
              <w:t>Ferien nicht abgebildet</w:t>
            </w:r>
          </w:p>
        </w:tc>
      </w:tr>
      <w:tr>
        <w:tc>
          <w:tcPr>
            <w:tcW w:type="dxa" w:w="2160"/>
          </w:tcPr>
          <w:p>
            <w:r>
              <w:t>18.04.2026</w:t>
            </w:r>
          </w:p>
        </w:tc>
        <w:tc>
          <w:tcPr>
            <w:tcW w:type="dxa" w:w="2160"/>
          </w:tcPr>
          <w:p>
            <w:r>
              <w:t>Praxisumsatz Malte sinkt laut BWA</w:t>
            </w:r>
          </w:p>
        </w:tc>
        <w:tc>
          <w:tcPr>
            <w:tcW w:type="dxa" w:w="2160"/>
          </w:tcPr>
          <w:p>
            <w:r>
              <w:t>BWA</w:t>
            </w:r>
          </w:p>
        </w:tc>
        <w:tc>
          <w:tcPr>
            <w:tcW w:type="dxa" w:w="2160"/>
          </w:tcPr>
          <w:p>
            <w:r>
              <w:t>Privatentnahmen unklar</w:t>
            </w:r>
          </w:p>
        </w:tc>
      </w:tr>
      <w:tr>
        <w:tc>
          <w:tcPr>
            <w:tcW w:type="dxa" w:w="2160"/>
          </w:tcPr>
          <w:p>
            <w:r>
              <w:t>10.06.2026</w:t>
            </w:r>
          </w:p>
        </w:tc>
        <w:tc>
          <w:tcPr>
            <w:tcW w:type="dxa" w:w="2160"/>
          </w:tcPr>
          <w:p>
            <w:r>
              <w:t>Jugendamt protokolliert Konflikt</w:t>
            </w:r>
          </w:p>
        </w:tc>
        <w:tc>
          <w:tcPr>
            <w:tcW w:type="dxa" w:w="2160"/>
          </w:tcPr>
          <w:p>
            <w:r>
              <w:t>Jugendamt</w:t>
            </w:r>
          </w:p>
        </w:tc>
        <w:tc>
          <w:tcPr>
            <w:tcW w:type="dxa" w:w="2160"/>
          </w:tcPr>
          <w:p>
            <w:r>
              <w:t>Kinder nicht angehört</w:t>
            </w:r>
          </w:p>
        </w:tc>
      </w:tr>
      <w:tr>
        <w:tc>
          <w:tcPr>
            <w:tcW w:type="dxa" w:w="2160"/>
          </w:tcPr>
          <w:p>
            <w:r>
              <w:t>02.07.2026</w:t>
            </w:r>
          </w:p>
        </w:tc>
        <w:tc>
          <w:tcPr>
            <w:tcW w:type="dxa" w:w="2160"/>
          </w:tcPr>
          <w:p>
            <w:r>
              <w:t>Antragsschreiben vorbereitet</w:t>
            </w:r>
          </w:p>
        </w:tc>
        <w:tc>
          <w:tcPr>
            <w:tcW w:type="dxa" w:w="2160"/>
          </w:tcPr>
          <w:p>
            <w:r>
              <w:t>Entwurf</w:t>
            </w:r>
          </w:p>
        </w:tc>
        <w:tc>
          <w:tcPr>
            <w:tcW w:type="dxa" w:w="2160"/>
          </w:tcPr>
          <w:p>
            <w:r>
              <w:t>Frist offen</w:t>
            </w:r>
          </w:p>
        </w:tc>
      </w:tr>
    </w:tbl>
    <w:p>
      <w:pPr>
        <w:pStyle w:val="Heading2"/>
      </w:pPr>
      <w:r>
        <w:t>2. Unsaubere Punkte</w:t>
      </w:r>
    </w:p>
    <w:p>
      <w:r>
        <w:t>Rieke erhält im März eine variable Erfolgsprämie von 4.800 EUR brutto.</w:t>
      </w:r>
    </w:p>
    <w:p>
      <w:r>
        <w:t>Musikschule, Klassenfahrt, kieferorthopädische Zuzahlung und Hortbeitrag sind nicht einheitlich bezahlt.</w:t>
      </w:r>
    </w:p>
    <w:p>
      <w:r>
        <w:t>Der Vater behauptet 49 Prozent Betreuung; die Mutter kommt anhand ihrer Kalender auf 36 Prozent.</w:t>
      </w:r>
    </w:p>
    <w:p>
      <w:r>
        <w:t>Die Kinder äußern unterschiedliche Wünsche, ohne dass klar ist, ob Loyalitätsdruck besteht.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