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Sachverhalt aus Mandantensicht</w:t>
      </w:r>
    </w:p>
    <w:p>
      <w:pPr>
        <w:pStyle w:val="Heading2"/>
      </w:pPr>
      <w:r>
        <w:t>1. Erinnerung</w:t>
      </w:r>
    </w:p>
    <w:p>
      <w:r>
        <w:t>Die Eltern leben seit Januar getrennt, wohnen aber nur 1.2 km auseinander.</w:t>
      </w:r>
    </w:p>
    <w:p>
      <w:r>
        <w:t>Nora übernachtet in der Praxiswoche häufiger beim Vater, Jasper bleibt an Schultagen öfter bei der Mutter.</w:t>
      </w:r>
    </w:p>
    <w:p>
      <w:r>
        <w:t>Malte legt BWA Januar bis Mai 2026 vor; Praxiskonto und Privatkonto sind nicht getrennt.</w:t>
      </w:r>
    </w:p>
    <w:p>
      <w:r>
        <w:t>Rieke erhält im März eine variable Erfolgsprämie von 4.800 EUR brutto.</w:t>
      </w:r>
    </w:p>
    <w:p>
      <w:r>
        <w:t>Musikschule, Klassenfahrt, kieferorthopädische Zuzahlung und Hortbeitrag sind nicht einheitlich bezahlt.</w:t>
      </w:r>
    </w:p>
    <w:p>
      <w:r>
        <w:t>Der Vater behauptet 49 Prozent Betreuung; die Mutter kommt anhand ihrer Kalender auf 36 Prozent.</w:t>
      </w:r>
    </w:p>
    <w:p>
      <w:r>
        <w:t>Die Kinder äußern unterschiedliche Wünsche, ohne dass klar ist, ob Loyalitätsdruck besteht.</w:t>
      </w:r>
    </w:p>
    <w:p>
      <w:pPr>
        <w:pStyle w:val="Heading2"/>
      </w:pPr>
      <w:r>
        <w:t>2. Streitpunkte</w:t>
      </w:r>
    </w:p>
    <w:p>
      <w:r>
        <w:t>Malte will keinen Tabellenunterhalt zahlen und verweist auf paritätische Betreuung.</w:t>
      </w:r>
    </w:p>
    <w:p>
      <w:r>
        <w:t>Rieke verlangt Barunterhalt, anteilige Mehrkosten und Auskunft über Praxiseinnahmen.</w:t>
      </w:r>
    </w:p>
    <w:p>
      <w:r>
        <w:t>Streit besteht über Bereinigung des Einkommens, Firmenwagen, Praxisdarlehen und Altersvorsorge.</w:t>
      </w:r>
    </w:p>
    <w:p>
      <w:r>
        <w:t>Der Umgang läuft tatsächlich, aber Übergaben eskalieren per Messenger.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