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Standpunkt der Gegenseite</w:t>
      </w:r>
    </w:p>
    <w:p>
      <w:pPr>
        <w:pStyle w:val="Heading2"/>
      </w:pPr>
      <w:r>
        <w:t>1. Kernaussagen</w:t>
      </w:r>
    </w:p>
    <w:p>
      <w:r>
        <w:t>Malte will keinen Tabellenunterhalt zahlen und verweist auf paritätische Betreuung.</w:t>
      </w:r>
    </w:p>
    <w:p>
      <w:r>
        <w:t>Rieke verlangt Barunterhalt, anteilige Mehrkosten und Auskunft über Praxiseinnahmen.</w:t>
      </w:r>
    </w:p>
    <w:p>
      <w:r>
        <w:t>Streit besteht über Bereinigung des Einkommens, Firmenwagen, Praxisdarlehen und Altersvorsorge.</w:t>
      </w:r>
    </w:p>
    <w:p>
      <w:r>
        <w:t>Der Umgang läuft tatsächlich, aber Übergaben eskalieren per Messenger.</w:t>
      </w:r>
    </w:p>
    <w:p>
      <w:pPr>
        <w:pStyle w:val="Heading2"/>
      </w:pPr>
      <w:r>
        <w:t>2. Angriffspunkte</w:t>
      </w:r>
    </w:p>
    <w:p>
      <w:r>
        <w:t>Auskunft über Gewinnermittlung 2024 bis Juni 2026 verlangen.</w:t>
      </w:r>
    </w:p>
    <w:p>
      <w:r>
        <w:t>Betreuungstage nach Nächten, Ferien und Krankheit getrennt erfassen.</w:t>
      </w:r>
    </w:p>
    <w:p>
      <w:r>
        <w:t>Mehrbedarf in laufend, einmalig und freiwillig trennen.</w:t>
      </w:r>
    </w:p>
    <w:p>
      <w:r>
        <w:t>Frist für Zahlung unter Vorbehalt bis 20.07.2026 setzen.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